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spacing w:after="360"/>
        <w:jc w:val="center"/>
      </w:pPr>
      <w:r>
        <w:rPr>
          <w:rFonts w:ascii="Aptos" w:hAnsi="Aptos"/>
          <w:b/>
          <w:i w:val="0"/>
          <w:color w:val="007B78"/>
          <w:sz w:val="22"/>
        </w:rPr>
        <w:t>SEKAI PORT OPERATING SYSTEM</w:t>
      </w:r>
    </w:p>
    <w:p>
      <w:pPr>
        <w:spacing w:after="180"/>
        <w:jc w:val="center"/>
      </w:pPr>
      <w:r>
        <w:rPr>
          <w:rFonts w:ascii="Aptos Display" w:hAnsi="Aptos Display"/>
          <w:b/>
          <w:i w:val="0"/>
          <w:color w:val="0E2530"/>
          <w:sz w:val="54"/>
        </w:rPr>
        <w:t>Factory Floor Operating Manual</w:t>
      </w:r>
    </w:p>
    <w:p>
      <w:pPr>
        <w:spacing w:after="600"/>
        <w:jc w:val="center"/>
      </w:pPr>
      <w:r>
        <w:rPr>
          <w:rFonts w:ascii="Aptos" w:hAnsi="Aptos"/>
          <w:b w:val="0"/>
          <w:i w:val="0"/>
          <w:color w:val="52666D"/>
          <w:sz w:val="28"/>
        </w:rPr>
        <w:t>How the seven dashboards operate as one recursive growth system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DFF3EF"/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0E2530"/>
                <w:sz w:val="22"/>
              </w:rPr>
              <w:t>Version 2.0 | 12 July 2026</w:t>
            </w:r>
            <w:r>
              <w:rPr>
                <w:rFonts w:ascii="Aptos" w:hAnsi="Aptos"/>
                <w:b w:val="0"/>
                <w:i w:val="0"/>
                <w:color w:val="52666D"/>
                <w:sz w:val="20"/>
              </w:rPr>
              <w:br/>
              <w:t>Prepared for Eugene and the Sekai Port operating team</w:t>
            </w:r>
          </w:p>
        </w:tc>
      </w:tr>
    </w:tbl>
    <w:p>
      <w:r>
        <w:br w:type="page"/>
      </w:r>
    </w:p>
    <w:p>
      <w:pPr>
        <w:pStyle w:val="Heading1"/>
      </w:pPr>
      <w:r>
        <w:t>How to use this manual</w:t>
      </w:r>
    </w:p>
    <w:p>
      <w:pPr>
        <w:pStyle w:val="ListBullet"/>
      </w:pPr>
      <w:r>
        <w:t>Open the root index.html and enter the Daily Control Tower every operating morning.</w:t>
      </w:r>
    </w:p>
    <w:p>
      <w:pPr>
        <w:pStyle w:val="ListBullet"/>
      </w:pPr>
      <w:r>
        <w:t>Use the Control Tower for priorities and exceptions; use the owning factory floor for the detailed record.</w:t>
      </w:r>
    </w:p>
    <w:p>
      <w:pPr>
        <w:pStyle w:val="ListBullet"/>
      </w:pPr>
      <w:r>
        <w:t>Follow the stage gates in this manual. The repaired dashboards now block the most important invalid movements.</w:t>
      </w:r>
    </w:p>
    <w:p>
      <w:pPr>
        <w:pStyle w:val="ListBullet"/>
      </w:pPr>
      <w:r>
        <w:t>Use the Daily Operations Playbook for the exact morning, midday, end-of-day and Friday sequence.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DFF3EF"/>
          </w:tcPr>
          <w:p>
            <w:r>
              <w:rPr>
                <w:rFonts w:ascii="Aptos" w:hAnsi="Aptos"/>
                <w:b/>
                <w:i w:val="0"/>
                <w:color w:val="007B78"/>
                <w:sz w:val="22"/>
              </w:rPr>
              <w:t>V2 operating principle</w:t>
              <w:br/>
            </w:r>
            <w:r>
              <w:rPr>
                <w:rFonts w:ascii="Aptos" w:hAnsi="Aptos"/>
                <w:b w:val="0"/>
                <w:i w:val="0"/>
                <w:color w:val="13252C"/>
                <w:sz w:val="21"/>
              </w:rPr>
              <w:t>The system is not seven unrelated dashboards. It is one recursive loop with seven source-of-truth floors. The Control Tower tells you where to look; the factory floor tells you what to do.</w:t>
            </w:r>
          </w:p>
        </w:tc>
      </w:tr>
    </w:tbl>
    <w:p>
      <w:pPr>
        <w:spacing w:after="20"/>
      </w:pPr>
    </w:p>
    <w:p>
      <w:pPr>
        <w:pStyle w:val="Heading1"/>
      </w:pPr>
      <w:r>
        <w:t>Part I - Architecture and ownership</w:t>
      </w:r>
    </w:p>
    <w:p>
      <w:pPr>
        <w:pStyle w:val="Heading2"/>
      </w:pPr>
      <w:r>
        <w:t>The recursive operating loop</w:t>
      </w:r>
    </w:p>
    <w:p>
      <w:pPr>
        <w:pStyle w:val="ListNumber"/>
      </w:pPr>
      <w:r>
        <w:t>Permanent nodes create trusted access to individual prospects.</w:t>
      </w:r>
    </w:p>
    <w:p>
      <w:pPr>
        <w:pStyle w:val="ListNumber"/>
      </w:pPr>
      <w:r>
        <w:t>Category Operations converts individual behavior into category evidence and qualified routes.</w:t>
      </w:r>
    </w:p>
    <w:p>
      <w:pPr>
        <w:pStyle w:val="ListNumber"/>
      </w:pPr>
      <w:r>
        <w:t>Product Factory turns proven demand into controlled commercial products and category interfaces.</w:t>
      </w:r>
    </w:p>
    <w:p>
      <w:pPr>
        <w:pStyle w:val="ListNumber"/>
      </w:pPr>
      <w:r>
        <w:t>Script Intelligence protects and improves the exact wording used at every stage.</w:t>
      </w:r>
    </w:p>
    <w:p>
      <w:pPr>
        <w:pStyle w:val="ListNumber"/>
      </w:pPr>
      <w:r>
        <w:t>Sales creates paid clients; Fulfillment produces results, proof and relationship trust.</w:t>
      </w:r>
    </w:p>
    <w:p>
      <w:pPr>
        <w:pStyle w:val="ListNumber"/>
      </w:pPr>
      <w:r>
        <w:t>Suitable clients ascend into Producers, License Owners, Navigators or Growth OS communities.</w:t>
      </w:r>
    </w:p>
    <w:p>
      <w:pPr>
        <w:pStyle w:val="ListNumber"/>
      </w:pPr>
      <w:r>
        <w:t>Scaling Operations turns proven categories into recurring distribution; that distribution creates the next prospect flow.</w:t>
      </w:r>
    </w:p>
    <w:p>
      <w:pPr>
        <w:pStyle w:val="Heading2"/>
      </w:pPr>
      <w:r>
        <w:t>Source-of-truth map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550"/>
        <w:gridCol w:w="3900"/>
        <w:gridCol w:w="3910"/>
      </w:tblGrid>
      <w:tr>
        <w:trPr/>
        <w:tc>
          <w:tcPr>
            <w:tcW w:type="dxa" w:w="155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Floor</w:t>
            </w:r>
          </w:p>
        </w:tc>
        <w:tc>
          <w:tcPr>
            <w:tcW w:type="dxa" w:w="39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Owns</w:t>
            </w:r>
          </w:p>
        </w:tc>
        <w:tc>
          <w:tcPr>
            <w:tcW w:type="dxa" w:w="391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Does not own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01 Control Tower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Today's calls, exceptions, commitments and founder decisions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Full histories from specialist floors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02 Category Operations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Individual prospects, qualification, category evidence and route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Permanent node activation or recurring agreements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03 Node Factory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Testing/scaling node recruitment, activation, capacity and output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Buyer conversion history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04 Product Factory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Product, interface, economics, delivery and product experiments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Live DM conversations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05 Script Intelligence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Script families, protected versions and experiments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Lead pipeline truth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06 Fulfillment + Ascension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Paid-client result, proof, node fit and ascension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Pre-sale lead qualification</w:t>
            </w:r>
          </w:p>
        </w:tc>
      </w:tr>
      <w:tr>
        <w:trPr/>
        <w:tc>
          <w:tcPr>
            <w:tcW w:type="dxa" w:w="155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07 Scaling Operations</w:t>
            </w:r>
          </w:p>
        </w:tc>
        <w:tc>
          <w:tcPr>
            <w:tcW w:type="dxa" w:w="3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Aggregator candidates, pilots and recurring distribution</w:t>
            </w:r>
          </w:p>
        </w:tc>
        <w:tc>
          <w:tcPr>
            <w:tcW w:type="dxa" w:w="391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Early category testing</w:t>
            </w:r>
          </w:p>
        </w:tc>
      </w:tr>
    </w:tbl>
    <w:p>
      <w:pPr>
        <w:spacing w:after="20"/>
      </w:pPr>
    </w:p>
    <w:p>
      <w:pPr>
        <w:pStyle w:val="Heading2"/>
      </w:pPr>
      <w:r>
        <w:t>Buyer fit and node fit are separate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1800"/>
        <w:gridCol w:w="5760"/>
      </w:tblGrid>
      <w:tr>
        <w:trPr/>
        <w:tc>
          <w:tcPr>
            <w:tcW w:type="dxa" w:w="18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Buyer fit</w:t>
            </w:r>
          </w:p>
        </w:tc>
        <w:tc>
          <w:tcPr>
            <w:tcW w:type="dxa" w:w="18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Node fit</w:t>
            </w:r>
          </w:p>
        </w:tc>
        <w:tc>
          <w:tcPr>
            <w:tcW w:type="dxa" w:w="57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Route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High</w:t>
            </w:r>
          </w:p>
        </w:tc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High</w:t>
            </w:r>
          </w:p>
        </w:tc>
        <w:tc>
          <w:tcPr>
            <w:tcW w:type="dxa" w:w="57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Sell the correct product; assess ascension after proof.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High</w:t>
            </w:r>
          </w:p>
        </w:tc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Low</w:t>
            </w:r>
          </w:p>
        </w:tc>
        <w:tc>
          <w:tcPr>
            <w:tcW w:type="dxa" w:w="57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Client route only. Do not force recursion.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Low</w:t>
            </w:r>
          </w:p>
        </w:tc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High</w:t>
            </w:r>
          </w:p>
        </w:tc>
        <w:tc>
          <w:tcPr>
            <w:tcW w:type="dxa" w:w="57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Node-only/Navigator route when trust and access are real.</w:t>
            </w:r>
          </w:p>
        </w:tc>
      </w:tr>
      <w:tr>
        <w:trPr/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Low</w:t>
            </w:r>
          </w:p>
        </w:tc>
        <w:tc>
          <w:tcPr>
            <w:tcW w:type="dxa" w:w="18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Low</w:t>
            </w:r>
          </w:p>
        </w:tc>
        <w:tc>
          <w:tcPr>
            <w:tcW w:type="dxa" w:w="57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Nurture or exit.</w:t>
            </w:r>
          </w:p>
        </w:tc>
      </w:tr>
    </w:tbl>
    <w:p>
      <w:pPr>
        <w:spacing w:after="20"/>
      </w:pPr>
    </w:p>
    <w:p>
      <w:pPr>
        <w:pStyle w:val="Heading1"/>
      </w:pPr>
      <w:r>
        <w:t>Part II - Floor-by-floor standards</w:t>
      </w:r>
    </w:p>
    <w:p>
      <w:pPr>
        <w:pStyle w:val="Heading2"/>
      </w:pPr>
      <w:r>
        <w:t>Floor 01 - Daily Control Tower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Run the day without becoming a duplicate database.</w:t>
      </w:r>
    </w:p>
    <w:p>
      <w:pPr>
        <w:pStyle w:val="ListBullet"/>
      </w:pPr>
      <w:r>
        <w:t>Start here every morning: booked calls, closest bookings, reply queue, delivery blockers and overdue commitments.</w:t>
      </w:r>
    </w:p>
    <w:p>
      <w:pPr>
        <w:pStyle w:val="ListBullet"/>
      </w:pPr>
      <w:r>
        <w:t>Select no more than three founder decisions: revenue, system constraint and strategic relationship/delivery.</w:t>
      </w:r>
    </w:p>
    <w:p>
      <w:pPr>
        <w:pStyle w:val="ListBullet"/>
      </w:pPr>
      <w:r>
        <w:t>Keep only summary, owner, next action, due date and blocker. Full details stay on the owning floor.</w:t>
      </w:r>
    </w:p>
    <w:p>
      <w:pPr>
        <w:pStyle w:val="ListBullet"/>
      </w:pPr>
      <w:r>
        <w:t>Daily checks now reset automatically when the local calendar day changes.</w:t>
      </w:r>
    </w:p>
    <w:p>
      <w:pPr>
        <w:pStyle w:val="ListBullet"/>
      </w:pPr>
      <w:r>
        <w:t>Imports accept only the identified Daily Control Tower schema and preserve a pre-import browser backup.</w:t>
      </w:r>
    </w:p>
    <w:p>
      <w:pPr>
        <w:pStyle w:val="Heading2"/>
      </w:pPr>
      <w:r>
        <w:t>Floor 02 - Category Operations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Operate many categories simultaneously as a portfolio of queues.</w:t>
      </w:r>
    </w:p>
    <w:p>
      <w:pPr>
        <w:pStyle w:val="ListBullet"/>
      </w:pPr>
      <w:r>
        <w:t>Lead VA maintains at least two operating days of inventory; the Router assigns prospects to active testing nodes with capacity.</w:t>
      </w:r>
    </w:p>
    <w:p>
      <w:pPr>
        <w:pStyle w:val="ListBullet"/>
      </w:pPr>
      <w:r>
        <w:t>Response VA records the conversation, buyer route, buyer qualification, node potential, next action and due date.</w:t>
      </w:r>
    </w:p>
    <w:p>
      <w:pPr>
        <w:pStyle w:val="ListBullet"/>
      </w:pPr>
      <w:r>
        <w:t>Historical Sent, Replied, Qualified, Call and Won milestones remain counted even if the current stage later changes.</w:t>
      </w:r>
    </w:p>
    <w:p>
      <w:pPr>
        <w:pStyle w:val="ListBullet"/>
      </w:pPr>
      <w:r>
        <w:t>Radar -&gt; Testing requires hypothesis, lead sources, pain, script, interface and a meaningful sample target.</w:t>
      </w:r>
    </w:p>
    <w:p>
      <w:pPr>
        <w:pStyle w:val="ListBullet"/>
      </w:pPr>
      <w:r>
        <w:t>Testing -&gt; Validating requires the configured sent sample; Validating -&gt; Packaged requires the full evidence threshold and product route; Packaged -&gt; Scaling requires a scaling handoff beyond Research.</w:t>
      </w:r>
    </w:p>
    <w:p>
      <w:pPr>
        <w:pStyle w:val="Heading2"/>
      </w:pPr>
      <w:r>
        <w:t>Floor 03 - Permanent Node Factory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Manufacture the distribution capacity that makes parallel category operation possible.</w:t>
      </w:r>
    </w:p>
    <w:p>
      <w:pPr>
        <w:pStyle w:val="ListBullet"/>
      </w:pPr>
      <w:r>
        <w:t>Testing nodes are authorized accounts or operators able to send tracked messages to individual prospects. Record daily capacity.</w:t>
      </w:r>
    </w:p>
    <w:p>
      <w:pPr>
        <w:pStyle w:val="ListBullet"/>
      </w:pPr>
      <w:r>
        <w:t>Scaling nodes are organizations or audience owners able to repeat distribution after category proof. Record reachable audience separately.</w:t>
      </w:r>
    </w:p>
    <w:p>
      <w:pPr>
        <w:pStyle w:val="ListBullet"/>
      </w:pPr>
      <w:r>
        <w:t>Create/edit the complete node record: organization, category, kind, channel, owner, source, due date, next action, node-fit scores and output funnel.</w:t>
      </w:r>
    </w:p>
    <w:p>
      <w:pPr>
        <w:pStyle w:val="ListBullet"/>
      </w:pPr>
      <w:r>
        <w:t>Activation requires 15/20 overall and at least 3/5 in Access, Trust, Execution and Alignment. Testing requires capacity; Scaling requires audience.</w:t>
      </w:r>
    </w:p>
    <w:p>
      <w:pPr>
        <w:pStyle w:val="ListBullet"/>
      </w:pPr>
      <w:r>
        <w:t>Producing requires sent activity and at least one qualified output. Scaling requires an attributed sale or revenue.</w:t>
      </w:r>
    </w:p>
    <w:p>
      <w:pPr>
        <w:pStyle w:val="ListBullet"/>
      </w:pPr>
      <w:r>
        <w:t>The funnel must follow sent &gt;= replies &gt;= qualified &gt;= calls &gt;= sales. Archive pauses and preserves the record; it does not delete it.</w:t>
      </w:r>
    </w:p>
    <w:p>
      <w:pPr>
        <w:pStyle w:val="ListBullet"/>
      </w:pPr>
      <w:r>
        <w:t>Category candidate/live counts derive from actual node records, preventing manual count drift.</w:t>
      </w:r>
    </w:p>
    <w:p>
      <w:pPr>
        <w:pStyle w:val="Heading2"/>
      </w:pPr>
      <w:r>
        <w:t>Floor 04 - Product Factory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Turn market and delivery evidence into controlled, scalable products.</w:t>
      </w:r>
    </w:p>
    <w:p>
      <w:pPr>
        <w:pStyle w:val="ListBullet"/>
      </w:pPr>
      <w:r>
        <w:t>Edit only when a real product constraint or decision exists; create one falsifiable experiment around one material variable.</w:t>
      </w:r>
    </w:p>
    <w:p>
      <w:pPr>
        <w:pStyle w:val="ListBullet"/>
      </w:pPr>
      <w:r>
        <w:t>Readiness is advanced by gates, not by editing the status field.</w:t>
      </w:r>
    </w:p>
    <w:p>
      <w:pPr>
        <w:pStyle w:val="ListBullet"/>
      </w:pPr>
      <w:r>
        <w:t>Buyer gate: exact buyer, trigger/exclusion and authority. Outcome gate: promised result and proof standard.</w:t>
      </w:r>
    </w:p>
    <w:p>
      <w:pPr>
        <w:pStyle w:val="ListBullet"/>
      </w:pPr>
      <w:r>
        <w:t>Interface gate: category positioning, page, pitch and pricing presentation. Economics gate: price, margin, delivery load and commission.</w:t>
      </w:r>
    </w:p>
    <w:p>
      <w:pPr>
        <w:pStyle w:val="ListBullet"/>
      </w:pPr>
      <w:r>
        <w:t>Delivery gate: milestones, owner, assets and proof capture. Node-creation gate: explicit Producer, License Owner, Navigator or Growth OS route.</w:t>
      </w:r>
    </w:p>
    <w:p>
      <w:pPr>
        <w:pStyle w:val="ListBullet"/>
      </w:pPr>
      <w:r>
        <w:t>Ready/Scaling requires a complete Ready category interface attached to the product.</w:t>
      </w:r>
    </w:p>
    <w:p>
      <w:pPr>
        <w:pStyle w:val="Heading2"/>
      </w:pPr>
      <w:r>
        <w:t>Floor 05 - Script Intelligence Database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Protect reusable wording and learn which messages create downstream outcomes.</w:t>
      </w:r>
    </w:p>
    <w:p>
      <w:pPr>
        <w:pStyle w:val="ListBullet"/>
      </w:pPr>
      <w:r>
        <w:t>Every live use records the exact script family and version. Never rewrite an Approved or Winner control in place.</w:t>
      </w:r>
    </w:p>
    <w:p>
      <w:pPr>
        <w:pStyle w:val="ListBullet"/>
      </w:pPr>
      <w:r>
        <w:t>Editing protected wording creates a new Draft challenger linked to the protected parent and resets its evidence counts.</w:t>
      </w:r>
    </w:p>
    <w:p>
      <w:pPr>
        <w:pStyle w:val="ListBullet"/>
      </w:pPr>
      <w:r>
        <w:t>Valid evidence must follow sent &gt;= replies &gt;= qualified &gt;= calls &gt;= sales.</w:t>
      </w:r>
    </w:p>
    <w:p>
      <w:pPr>
        <w:pStyle w:val="ListBullet"/>
      </w:pPr>
      <w:r>
        <w:t>Approved requires at least 20 sends and one reply. Winner requires at least 30 sends, a qualified lead and a call.</w:t>
      </w:r>
    </w:p>
    <w:p>
      <w:pPr>
        <w:pStyle w:val="ListBullet"/>
      </w:pPr>
      <w:r>
        <w:t>Experiments require a control, challenger, metric, target, owner and due date; measured evidence is required before decision.</w:t>
      </w:r>
    </w:p>
    <w:p>
      <w:pPr>
        <w:pStyle w:val="ListBullet"/>
      </w:pPr>
      <w:r>
        <w:t>Optimize for qualified conversations, calls and sales rather than reply rate alone.</w:t>
      </w:r>
    </w:p>
    <w:p>
      <w:pPr>
        <w:pStyle w:val="Heading2"/>
      </w:pPr>
      <w:r>
        <w:t>Floor 06 - Fulfillment + Node Ascension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Protect client results first, then activate the right future role.</w:t>
      </w:r>
    </w:p>
    <w:p>
      <w:pPr>
        <w:pStyle w:val="ListBullet"/>
      </w:pPr>
      <w:r>
        <w:t>Move due and at-risk milestones; capture proof when the outcome occurs and record client permission/context.</w:t>
      </w:r>
    </w:p>
    <w:p>
      <w:pPr>
        <w:pStyle w:val="ListBullet"/>
      </w:pPr>
      <w:r>
        <w:t>Node eligibility is 15/20 overall and at least 3/5 on every Access, Trust, Execution and Alignment axis.</w:t>
      </w:r>
    </w:p>
    <w:p>
      <w:pPr>
        <w:pStyle w:val="ListBullet"/>
      </w:pPr>
      <w:r>
        <w:t>A client cannot enter ascension without usable proof; duplicate active ascension records are blocked.</w:t>
      </w:r>
    </w:p>
    <w:p>
      <w:pPr>
        <w:pStyle w:val="ListBullet"/>
      </w:pPr>
      <w:r>
        <w:t>Ascension stages are advanced by gates: role reason, owner/action/date, first measurable campaign and first output.</w:t>
      </w:r>
    </w:p>
    <w:p>
      <w:pPr>
        <w:pStyle w:val="ListBullet"/>
      </w:pPr>
      <w:r>
        <w:t>High-Ticket may later ascend to Producer/License after proof. License intends an operating role but still requires activation. Growth OS becomes a scaling community and may produce internal Navigators.</w:t>
      </w:r>
    </w:p>
    <w:p>
      <w:pPr>
        <w:pStyle w:val="ListBullet"/>
      </w:pPr>
      <w:r>
        <w:t>Client-only remains valid. Never damage fulfillment to force recursion.</w:t>
      </w:r>
    </w:p>
    <w:p>
      <w:pPr>
        <w:pStyle w:val="Heading2"/>
      </w:pPr>
      <w:r>
        <w:t>Floor 07 - Scaling-Node Operations</w:t>
      </w:r>
    </w:p>
    <w:p>
      <w:r>
        <w:rPr>
          <w:rFonts w:ascii="Aptos" w:hAnsi="Aptos"/>
          <w:b/>
          <w:i w:val="0"/>
          <w:color w:val="007B78"/>
          <w:sz w:val="22"/>
        </w:rPr>
        <w:t xml:space="preserve">Purpose: </w:t>
      </w:r>
      <w:r>
        <w:rPr>
          <w:rFonts w:ascii="Aptos" w:hAnsi="Aptos"/>
          <w:b w:val="0"/>
          <w:i w:val="0"/>
          <w:color w:val="13252C"/>
          <w:sz w:val="22"/>
        </w:rPr>
        <w:t>Turn proven category evidence into measurable pilots and recurring distribution.</w:t>
      </w:r>
    </w:p>
    <w:p>
      <w:pPr>
        <w:pStyle w:val="ListBullet"/>
      </w:pPr>
      <w:r>
        <w:t>Research organizations only for categories that passed the category scale gate.</w:t>
      </w:r>
    </w:p>
    <w:p>
      <w:pPr>
        <w:pStyle w:val="ListBullet"/>
      </w:pPr>
      <w:r>
        <w:t>Record decision-maker, audience access, source, evidence package, member value, owner, next action and due date.</w:t>
      </w:r>
    </w:p>
    <w:p>
      <w:pPr>
        <w:pStyle w:val="ListBullet"/>
      </w:pPr>
      <w:r>
        <w:t>Node and pilot stages are advanced by gates; the pilot category is derived from the selected node.</w:t>
      </w:r>
    </w:p>
    <w:p>
      <w:pPr>
        <w:pStyle w:val="ListBullet"/>
      </w:pPr>
      <w:r>
        <w:t>Pilot data must follow introductions &gt;= qualified &gt;= calls &gt;= sales and include a measurable proposition, CTA, owner and date.</w:t>
      </w:r>
    </w:p>
    <w:p>
      <w:pPr>
        <w:pStyle w:val="ListBullet"/>
      </w:pPr>
      <w:r>
        <w:t>Recurring requires a measured pilot with at least one qualified lead and call, plus recurring frequency and valid commission terms.</w:t>
      </w:r>
    </w:p>
    <w:p>
      <w:pPr>
        <w:pStyle w:val="ListBullet"/>
      </w:pPr>
      <w:r>
        <w:t>A large declared audience without access, trust or execution is not a scaling node.</w:t>
      </w:r>
    </w:p>
    <w:p>
      <w:pPr>
        <w:pStyle w:val="Heading1"/>
      </w:pPr>
      <w:r>
        <w:t>Part III - Complete handoffs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  <w:shd w:fill="DFF3EF"/>
          </w:tcPr>
          <w:p>
            <w:r>
              <w:rPr>
                <w:rFonts w:ascii="Aptos" w:hAnsi="Aptos"/>
                <w:b/>
                <w:i w:val="0"/>
                <w:color w:val="007B78"/>
                <w:sz w:val="22"/>
              </w:rPr>
              <w:t>Handoff definition</w:t>
              <w:br/>
            </w:r>
            <w:r>
              <w:rPr>
                <w:rFonts w:ascii="Aptos" w:hAnsi="Aptos"/>
                <w:b w:val="0"/>
                <w:i w:val="0"/>
                <w:color w:val="13252C"/>
                <w:sz w:val="21"/>
              </w:rPr>
              <w:t>A handoff is complete only when the receiving floor has a real record, an accountable owner and enough context to act without reconstructing the history.</w:t>
            </w:r>
          </w:p>
        </w:tc>
      </w:tr>
    </w:tbl>
    <w:p>
      <w:pPr>
        <w:spacing w:after="20"/>
      </w:pPr>
    </w:p>
    <w:p>
      <w:pPr>
        <w:pStyle w:val="ListNumber"/>
      </w:pPr>
      <w:r>
        <w:t>Finish and save the source-floor record first.</w:t>
      </w:r>
    </w:p>
    <w:p>
      <w:pPr>
        <w:pStyle w:val="ListNumber"/>
      </w:pPr>
      <w:r>
        <w:t>Create or update the receiving-floor record using the same stable person, organization, category, product and script identity.</w:t>
      </w:r>
    </w:p>
    <w:p>
      <w:pPr>
        <w:pStyle w:val="ListNumber"/>
      </w:pPr>
      <w:r>
        <w:t>Transfer the evidence, decision/route, owner, next action and due date.</w:t>
      </w:r>
    </w:p>
    <w:p>
      <w:pPr>
        <w:pStyle w:val="ListNumber"/>
      </w:pPr>
      <w:r>
        <w:t>In the sending record, note the receiving floor, receiving record name and handoff date.</w:t>
      </w:r>
    </w:p>
    <w:p>
      <w:pPr>
        <w:pStyle w:val="ListNumber"/>
      </w:pPr>
      <w:r>
        <w:t>Mirror only founder-visible status, owner, next action, due date and blocker into the Control Tower.</w:t>
      </w:r>
    </w:p>
    <w:p>
      <w:pPr>
        <w:pStyle w:val="ListNumber"/>
      </w:pPr>
      <w:r>
        <w:t>The receiving owner confirms acceptance. No receiving record means no completed handoff.</w:t>
      </w:r>
    </w:p>
    <w:p>
      <w:pPr>
        <w:pStyle w:val="Heading2"/>
      </w:pPr>
      <w:r>
        <w:t>Required handoff packet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900"/>
        <w:gridCol w:w="7460"/>
      </w:tblGrid>
      <w:tr>
        <w:trPr/>
        <w:tc>
          <w:tcPr>
            <w:tcW w:type="dxa" w:w="19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Field</w:t>
            </w:r>
          </w:p>
        </w:tc>
        <w:tc>
          <w:tcPr>
            <w:tcW w:type="dxa" w:w="74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Required content</w:t>
            </w:r>
          </w:p>
        </w:tc>
      </w:tr>
      <w:tr>
        <w:trPr/>
        <w:tc>
          <w:tcPr>
            <w:tcW w:type="dxa" w:w="1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Identity</w:t>
            </w:r>
          </w:p>
        </w:tc>
        <w:tc>
          <w:tcPr>
            <w:tcW w:type="dxa" w:w="74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Person/organization, category and originating node/source</w:t>
            </w:r>
          </w:p>
        </w:tc>
      </w:tr>
      <w:tr>
        <w:trPr/>
        <w:tc>
          <w:tcPr>
            <w:tcW w:type="dxa" w:w="1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Evidence</w:t>
            </w:r>
          </w:p>
        </w:tc>
        <w:tc>
          <w:tcPr>
            <w:tcW w:type="dxa" w:w="74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Exact script/version, meaningful replies, metrics, proof assets and objections</w:t>
            </w:r>
          </w:p>
        </w:tc>
      </w:tr>
      <w:tr>
        <w:trPr/>
        <w:tc>
          <w:tcPr>
            <w:tcW w:type="dxa" w:w="1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Decision</w:t>
            </w:r>
          </w:p>
        </w:tc>
        <w:tc>
          <w:tcPr>
            <w:tcW w:type="dxa" w:w="74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Buyer route, node route or scale decision, with reason</w:t>
            </w:r>
          </w:p>
        </w:tc>
      </w:tr>
      <w:tr>
        <w:trPr/>
        <w:tc>
          <w:tcPr>
            <w:tcW w:type="dxa" w:w="1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Ownership</w:t>
            </w:r>
          </w:p>
        </w:tc>
        <w:tc>
          <w:tcPr>
            <w:tcW w:type="dxa" w:w="74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Receiving owner, next action and due date</w:t>
            </w:r>
          </w:p>
        </w:tc>
      </w:tr>
      <w:tr>
        <w:trPr/>
        <w:tc>
          <w:tcPr>
            <w:tcW w:type="dxa" w:w="1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Commercial</w:t>
            </w:r>
          </w:p>
        </w:tc>
        <w:tc>
          <w:tcPr>
            <w:tcW w:type="dxa" w:w="74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Product/version, value and payment status when applicable</w:t>
            </w:r>
          </w:p>
        </w:tc>
      </w:tr>
      <w:tr>
        <w:trPr/>
        <w:tc>
          <w:tcPr>
            <w:tcW w:type="dxa" w:w="19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Node fit</w:t>
            </w:r>
          </w:p>
        </w:tc>
        <w:tc>
          <w:tcPr>
            <w:tcW w:type="dxa" w:w="74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Access, Trust, Execution and Alignment scored separately from ability to pay</w:t>
            </w:r>
          </w:p>
        </w:tc>
      </w:tr>
    </w:tbl>
    <w:p>
      <w:pPr>
        <w:spacing w:after="20"/>
      </w:pPr>
    </w:p>
    <w:p>
      <w:pPr>
        <w:pStyle w:val="Heading1"/>
      </w:pPr>
      <w:r>
        <w:t>Part IV - Cadence and control</w:t>
      </w:r>
    </w:p>
    <w:p>
      <w:pPr>
        <w:pStyle w:val="Heading2"/>
      </w:pPr>
      <w:r>
        <w:t>Daily</w:t>
      </w:r>
    </w:p>
    <w:p>
      <w:pPr>
        <w:pStyle w:val="ListBullet"/>
      </w:pPr>
      <w:r>
        <w:t>Morning: Control Tower triage, then floor-owned production.</w:t>
      </w:r>
    </w:p>
    <w:p>
      <w:pPr>
        <w:pStyle w:val="ListBullet"/>
      </w:pPr>
      <w:r>
        <w:t>Midday: founder decision window for qualified sales, category promotion, product/script decisions, strategic nodes and fulfillment risk.</w:t>
      </w:r>
    </w:p>
    <w:p>
      <w:pPr>
        <w:pStyle w:val="ListBullet"/>
      </w:pPr>
      <w:r>
        <w:t>End of day: every reply, client milestone, experiment and node has an owner, next action and date.</w:t>
      </w:r>
    </w:p>
    <w:p>
      <w:pPr>
        <w:pStyle w:val="Heading2"/>
      </w:pPr>
      <w:r>
        <w:t>Friday review</w:t>
      </w:r>
    </w:p>
    <w:p>
      <w:pPr>
        <w:pStyle w:val="ListBullet"/>
      </w:pPr>
      <w:r>
        <w:t>Category portfolio: started, validating, packaged, scaling, redesigned or stopped.</w:t>
      </w:r>
    </w:p>
    <w:p>
      <w:pPr>
        <w:pStyle w:val="ListBullet"/>
      </w:pPr>
      <w:r>
        <w:t>Node capacity: recruited, activated, producing, archived and reproduced; output per active node.</w:t>
      </w:r>
    </w:p>
    <w:p>
      <w:pPr>
        <w:pStyle w:val="ListBullet"/>
      </w:pPr>
      <w:r>
        <w:t>Products/scripts: promoted versions, losing challengers, delivery load and downstream sales effect.</w:t>
      </w:r>
    </w:p>
    <w:p>
      <w:pPr>
        <w:pStyle w:val="ListBullet"/>
      </w:pPr>
      <w:r>
        <w:t>Fulfillment: due milestones, proof captured, risk and approved ascensions.</w:t>
      </w:r>
    </w:p>
    <w:p>
      <w:pPr>
        <w:pStyle w:val="ListBullet"/>
      </w:pPr>
      <w:r>
        <w:t>Scaling: pilots, qualified output, recurring agreements, revenue and commission.</w:t>
      </w:r>
    </w:p>
    <w:p>
      <w:pPr>
        <w:pStyle w:val="ListBullet"/>
      </w:pPr>
      <w:r>
        <w:t>Export a same-floor JSON backup from every active floor.</w:t>
      </w:r>
    </w:p>
    <w:p>
      <w:pPr>
        <w:pStyle w:val="Heading2"/>
      </w:pPr>
      <w:r>
        <w:t>Data safety</w:t>
      </w:r>
    </w:p>
    <w:p>
      <w:pPr>
        <w:pStyle w:val="ListBullet"/>
      </w:pPr>
      <w:r>
        <w:t>Use one stable hosted URL and primary browser profile. Changing domain/origin or clearing site data creates a separate or empty dataset.</w:t>
      </w:r>
    </w:p>
    <w:p>
      <w:pPr>
        <w:pStyle w:val="ListBullet"/>
      </w:pPr>
      <w:r>
        <w:t>Imports are floor-specific. Export the current floor before import; the repaired apps also preserve a browser pre-import backup.</w:t>
      </w:r>
    </w:p>
    <w:p>
      <w:pPr>
        <w:pStyle w:val="ListBullet"/>
      </w:pPr>
      <w:r>
        <w:t>Keep dated weekly exports outside the browser. Test a restore monthly in a safe browser profile.</w:t>
      </w:r>
    </w:p>
    <w:p>
      <w:pPr>
        <w:pStyle w:val="ListBullet"/>
      </w:pPr>
      <w:r>
        <w:t>This edition is local-first and has no built-in authentication, shared cloud database or true multi-user synchronization.</w:t>
      </w:r>
    </w:p>
    <w:p>
      <w:pPr>
        <w:pStyle w:val="ListBullet"/>
      </w:pPr>
      <w:r>
        <w:t>Deploy the entire suite behind private access control. A private source repository does not make a deployed URL private.</w:t>
      </w:r>
    </w:p>
    <w:p>
      <w:pPr>
        <w:pStyle w:val="Heading1"/>
      </w:pPr>
      <w:r>
        <w:t>Part V - Fast troubleshooting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rPr/>
        <w:tc>
          <w:tcPr>
            <w:tcW w:type="dxa" w:w="250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Problem</w:t>
            </w:r>
          </w:p>
        </w:tc>
        <w:tc>
          <w:tcPr>
            <w:tcW w:type="dxa" w:w="6860"/>
            <w:shd w:fill="E8EEF5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/>
                <w:i w:val="0"/>
                <w:color w:val="0E2530"/>
                <w:sz w:val="20"/>
              </w:rPr>
              <w:t>Action</w:t>
            </w:r>
          </w:p>
        </w:tc>
      </w:tr>
      <w:tr>
        <w:trPr/>
        <w:tc>
          <w:tcPr>
            <w:tcW w:type="dxa" w:w="2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Dashboard looks empty</w:t>
            </w:r>
          </w:p>
        </w:tc>
        <w:tc>
          <w:tcPr>
            <w:tcW w:type="dxa" w:w="68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Confirm the same URL/origin and browser profile; do not reset. Check exports before importing.</w:t>
            </w:r>
          </w:p>
        </w:tc>
      </w:tr>
      <w:tr>
        <w:trPr/>
        <w:tc>
          <w:tcPr>
            <w:tcW w:type="dxa" w:w="2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Stage will not advance</w:t>
            </w:r>
          </w:p>
        </w:tc>
        <w:tc>
          <w:tcPr>
            <w:tcW w:type="dxa" w:w="68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Read the gate message and complete the missing evidence, scores, owner/action/date or output.</w:t>
            </w:r>
          </w:p>
        </w:tc>
      </w:tr>
      <w:tr>
        <w:trPr/>
        <w:tc>
          <w:tcPr>
            <w:tcW w:type="dxa" w:w="2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Import rejected</w:t>
            </w:r>
          </w:p>
        </w:tc>
        <w:tc>
          <w:tcPr>
            <w:tcW w:type="dxa" w:w="68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Use a backup exported by that exact floor and current schema version.</w:t>
            </w:r>
          </w:p>
        </w:tc>
      </w:tr>
      <w:tr>
        <w:trPr/>
        <w:tc>
          <w:tcPr>
            <w:tcW w:type="dxa" w:w="2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Counts appear different</w:t>
            </w:r>
          </w:p>
        </w:tc>
        <w:tc>
          <w:tcPr>
            <w:tcW w:type="dxa" w:w="68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Check whether the metric is cumulative, daily capacity, reachable audience or current-stage inventory.</w:t>
            </w:r>
          </w:p>
        </w:tc>
      </w:tr>
      <w:tr>
        <w:trPr/>
        <w:tc>
          <w:tcPr>
            <w:tcW w:type="dxa" w:w="2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Handoff is missing</w:t>
            </w:r>
          </w:p>
        </w:tc>
        <w:tc>
          <w:tcPr>
            <w:tcW w:type="dxa" w:w="68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Create the receiving-floor record and assign the receiving owner; a note alone is not a handoff.</w:t>
            </w:r>
          </w:p>
        </w:tc>
      </w:tr>
      <w:tr>
        <w:trPr/>
        <w:tc>
          <w:tcPr>
            <w:tcW w:type="dxa" w:w="250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Operator wants to edit a winner</w:t>
            </w:r>
          </w:p>
        </w:tc>
        <w:tc>
          <w:tcPr>
            <w:tcW w:type="dxa" w:w="6860"/>
            <w:vAlign w:val="center"/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r>
              <w:rPr>
                <w:rFonts w:ascii="Aptos" w:hAnsi="Aptos"/>
                <w:b w:val="0"/>
                <w:i w:val="0"/>
                <w:color w:val="13252C"/>
                <w:sz w:val="19"/>
              </w:rPr>
              <w:t>Create a Draft challenger. The Approved/Winner wording remains protected.</w:t>
            </w:r>
          </w:p>
        </w:tc>
      </w:tr>
    </w:tbl>
    <w:p>
      <w:pPr>
        <w:spacing w:after="20"/>
      </w:pPr>
    </w:p>
    <w:p>
      <w:pPr>
        <w:keepLines/>
        <w:spacing w:before="160"/>
      </w:pPr>
      <w:r>
        <w:rPr>
          <w:rFonts w:ascii="Aptos" w:hAnsi="Aptos"/>
          <w:b/>
          <w:i w:val="0"/>
          <w:color w:val="007B78"/>
          <w:sz w:val="21"/>
        </w:rPr>
        <w:t xml:space="preserve">Control rule: </w:t>
      </w:r>
      <w:r>
        <w:rPr>
          <w:rFonts w:ascii="Aptos" w:hAnsi="Aptos"/>
          <w:b w:val="0"/>
          <w:i w:val="0"/>
          <w:color w:val="13252C"/>
          <w:sz w:val="21"/>
        </w:rPr>
        <w:t>The Control Tower prioritizes; factory floors own truth; evidence advances stages; results create the next node.</w:t>
      </w:r>
    </w:p>
    <w:p>
      <w:pPr>
        <w:pStyle w:val="Heading1"/>
        <w:keepNext/>
      </w:pPr>
      <w:r>
        <w:t>Floor 08 — Opportunity Intelligence &amp; Supply</w:t>
      </w:r>
    </w:p>
    <w:p>
      <w:r>
        <w:t>Purpose: convert a specific client or category need into a verified, sellable opportunity route. This floor owns research requests, candidate supply, verification evidence, fit decisions and the handoff packet. It is not a generic link list.</w:t>
      </w:r>
    </w:p>
    <w:p>
      <w:pPr>
        <w:pStyle w:val="Heading2"/>
        <w:keepNext/>
      </w:pPr>
      <w:r>
        <w:t>Source of truth</w:t>
      </w:r>
    </w:p>
    <w:p>
      <w:pPr>
        <w:pStyle w:val="ListBullet"/>
      </w:pPr>
      <w:r>
        <w:t>Research request: client, category, purpose, criteria, owner, due date and receiving destination.</w:t>
      </w:r>
    </w:p>
    <w:p>
      <w:pPr>
        <w:pStyle w:val="ListBullet"/>
      </w:pPr>
      <w:r>
        <w:t>Opportunity record: organizer, format, country, price, deadline, action URL, verification evidence, fit score and decision status.</w:t>
      </w:r>
    </w:p>
    <w:p>
      <w:pPr>
        <w:pStyle w:val="ListBullet"/>
      </w:pPr>
      <w:r>
        <w:t>Commercial route: qualified supply connected to Product Factory, Lead Conversion or Fulfillment.</w:t>
      </w:r>
    </w:p>
    <w:p>
      <w:pPr>
        <w:pStyle w:val="ListBullet"/>
      </w:pPr>
      <w:r>
        <w:t>Factory handoff: receiving floor, subject, evidence packet, timestamp and status.</w:t>
      </w:r>
    </w:p>
    <w:p>
      <w:pPr>
        <w:pStyle w:val="Heading2"/>
        <w:keepNext/>
      </w:pPr>
      <w:r>
        <w:t>Qualification gate</w:t>
      </w:r>
    </w:p>
    <w:p>
      <w:r>
        <w:t>An opportunity may be marked Qualified only after the organizer and program, participation format, price/payment route, deadline/call to action, client criteria and non-rental status are verified. Organizer, price, deadline, action URL and evidence must be recorded.</w:t>
      </w:r>
    </w:p>
    <w:p>
      <w:pPr>
        <w:pStyle w:val="Heading2"/>
        <w:keepNext/>
      </w:pPr>
      <w:r>
        <w:t>Operating sequence</w:t>
      </w:r>
    </w:p>
    <w:p>
      <w:pPr>
        <w:pStyle w:val="ListNumber"/>
      </w:pPr>
      <w:r>
        <w:t>Create one research request from a real client, category or product question.</w:t>
      </w:r>
    </w:p>
    <w:p>
      <w:pPr>
        <w:pStyle w:val="ListNumber"/>
      </w:pPr>
      <w:r>
        <w:t>Add candidates against that request; do not collect unrelated links.</w:t>
      </w:r>
    </w:p>
    <w:p>
      <w:pPr>
        <w:pStyle w:val="ListNumber"/>
      </w:pPr>
      <w:r>
        <w:t>Verify the six-part gate and record evidence before qualification.</w:t>
      </w:r>
    </w:p>
    <w:p>
      <w:pPr>
        <w:pStyle w:val="ListNumber"/>
      </w:pPr>
      <w:r>
        <w:t>Build the commercial route from qualified supply.</w:t>
      </w:r>
    </w:p>
    <w:p>
      <w:pPr>
        <w:pStyle w:val="ListNumber"/>
      </w:pPr>
      <w:r>
        <w:t>Send the complete packet to Product Factory for packaging, Lead Conversion for pitching, Fulfillment for purchased delivery, or Category Operations for reusable evidence.</w:t>
      </w:r>
    </w:p>
    <w:p>
      <w:pPr>
        <w:pStyle w:val="ListNumber"/>
      </w:pPr>
      <w:r>
        <w:t>Export the Floor 08 backup every Friday and before any import.</w:t>
      </w:r>
    </w:p>
    <w:p>
      <w:pPr>
        <w:pStyle w:val="Heading2"/>
        <w:keepNext/>
      </w:pPr>
      <w:r>
        <w:t>Boundary</w:t>
      </w:r>
    </w:p>
    <w:p>
      <w:r>
        <w:t>Floor 08 qualifies external opportunity supply. Product Factory owns what Sekai Port sells; Lead Conversion owns the sales conversation; Fulfillment owns purchased delivery; Category Operations owns reusable category proof. Handoffs are recorded but do not automatically create records in another floor in this local-first edition.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080" w:left="1224" w:header="504" w:footer="50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b w:val="0"/>
        <w:i w:val="0"/>
        <w:color w:val="52666D"/>
        <w:sz w:val="18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ptos" w:hAnsi="Aptos"/>
        <w:b/>
        <w:i w:val="0"/>
        <w:color w:val="52666D"/>
        <w:sz w:val="18"/>
      </w:rPr>
      <w:t>Sekai Port Operating System | Factory Floor Manual v2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Aptos" w:hAnsi="Aptos"/>
      <w:color w:val="13252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88" w:lineRule="auto"/>
      <w:ind w:left="547" w:hanging="274"/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88" w:lineRule="auto"/>
      <w:ind w:left="547" w:hanging="274"/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