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SEKAI PORT VISUAL OPERATING MANUAL</w:t>
      </w:r>
    </w:p>
    <w:p>
      <w:pPr>
        <w:pStyle w:val="Subtitle"/>
      </w:pPr>
      <w:r>
        <w:t>Follow the factory floor. Know where you are, what must move, and where the output goes next.</w:t>
      </w:r>
    </w:p>
    <w:p>
      <w:pPr>
        <w:spacing w:after="140"/>
        <w:jc w:val="center"/>
      </w:pPr>
      <w:r>
        <w:drawing>
          <wp:inline xmlns:a="http://schemas.openxmlformats.org/drawingml/2006/main" xmlns:pic="http://schemas.openxmlformats.org/drawingml/2006/picture">
            <wp:extent cx="6492240" cy="36518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ystem-e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651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How to use this manual</w:t>
      </w:r>
    </w:p>
    <w:p>
      <w:pPr>
        <w:pStyle w:val="ListBullet"/>
        <w:spacing w:after="80"/>
      </w:pPr>
      <w:r>
        <w:t>Open the Control Tower first.</w:t>
      </w:r>
    </w:p>
    <w:p>
      <w:pPr>
        <w:pStyle w:val="ListBullet"/>
        <w:spacing w:after="80"/>
      </w:pPr>
      <w:r>
        <w:t>Find the constraint.</w:t>
      </w:r>
    </w:p>
    <w:p>
      <w:pPr>
        <w:pStyle w:val="ListBullet"/>
        <w:spacing w:after="80"/>
      </w:pPr>
      <w:r>
        <w:t>Turn to that floor page.</w:t>
      </w:r>
    </w:p>
    <w:p>
      <w:pPr>
        <w:pStyle w:val="ListBullet"/>
        <w:spacing w:after="80"/>
      </w:pPr>
      <w:r>
        <w:t>Complete the exit gate.</w:t>
      </w:r>
    </w:p>
    <w:p>
      <w:pPr>
        <w:pStyle w:val="ListBullet"/>
        <w:spacing w:after="80"/>
      </w:pPr>
      <w:r>
        <w:t>Return to the Control Tower.</w:t>
      </w:r>
    </w:p>
    <w:p>
      <w:r>
        <w:br w:type="page"/>
      </w:r>
    </w:p>
    <w:p>
      <w:pPr>
        <w:pStyle w:val="Heading1"/>
      </w:pPr>
      <w:r>
        <w:t>01  Daily Control Tower</w:t>
      </w:r>
    </w:p>
    <w:p>
      <w:pPr>
        <w:spacing w:after="140"/>
        <w:jc w:val="center"/>
      </w:pPr>
      <w:r>
        <w:drawing>
          <wp:inline xmlns:a="http://schemas.openxmlformats.org/drawingml/2006/main" xmlns:pic="http://schemas.openxmlformats.org/drawingml/2006/picture">
            <wp:extent cx="6492240" cy="365188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loor-1-en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651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OPERATE THIS FLOOR</w:t>
      </w:r>
    </w:p>
    <w:p>
      <w:pPr>
        <w:pStyle w:val="ListBullet"/>
        <w:spacing w:after="80"/>
      </w:pPr>
      <w:r>
        <w:t>Open Control Tower first</w:t>
      </w:r>
    </w:p>
    <w:p>
      <w:pPr>
        <w:pStyle w:val="ListBullet"/>
        <w:spacing w:after="80"/>
      </w:pPr>
      <w:r>
        <w:t>Review bookings, overdue items and closest five prospects</w:t>
      </w:r>
    </w:p>
    <w:p>
      <w:pPr>
        <w:pStyle w:val="ListBullet"/>
        <w:spacing w:after="80"/>
      </w:pPr>
      <w:r>
        <w:t>Choose one constraint</w:t>
      </w:r>
    </w:p>
    <w:p>
      <w:pPr>
        <w:pStyle w:val="ListBullet"/>
        <w:spacing w:after="80"/>
      </w:pPr>
      <w:r>
        <w:t>Enter the specialist floor</w:t>
      </w:r>
    </w:p>
    <w:p>
      <w:pPr>
        <w:pStyle w:val="ListBullet"/>
        <w:spacing w:after="80"/>
      </w:pPr>
      <w:r>
        <w:t>Return and confirm tomorrow’s top three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5227"/>
            <w:shd w:fill="DDF3FF"/>
          </w:tcPr>
          <w:p>
            <w:r>
              <w:t>Completion check</w:t>
            </w:r>
          </w:p>
        </w:tc>
        <w:tc>
          <w:tcPr>
            <w:tcW w:type="dxa" w:w="5227"/>
            <w:shd w:fill="DDF3FF"/>
          </w:tcPr>
          <w:p>
            <w:r>
              <w:t>Handoff</w:t>
            </w:r>
          </w:p>
        </w:tc>
      </w:tr>
      <w:tr>
        <w:tc>
          <w:tcPr>
            <w:tcW w:type="dxa" w:w="5227"/>
          </w:tcPr>
          <w:p>
            <w:r>
              <w:t>Top 3 priorities and every critical record has owner + next action</w:t>
            </w:r>
          </w:p>
        </w:tc>
        <w:tc>
          <w:tcPr>
            <w:tcW w:type="dxa" w:w="5227"/>
          </w:tcPr>
          <w:p>
            <w:r>
              <w:t>Category Operations or the floor containing the constraint</w:t>
            </w:r>
          </w:p>
        </w:tc>
      </w:tr>
    </w:tbl>
    <w:p>
      <w:r>
        <w:br w:type="page"/>
      </w:r>
    </w:p>
    <w:p>
      <w:pPr>
        <w:pStyle w:val="Heading1"/>
      </w:pPr>
      <w:r>
        <w:t>02  Category Operations</w:t>
      </w:r>
    </w:p>
    <w:p>
      <w:pPr>
        <w:spacing w:after="140"/>
        <w:jc w:val="center"/>
      </w:pPr>
      <w:r>
        <w:drawing>
          <wp:inline xmlns:a="http://schemas.openxmlformats.org/drawingml/2006/main" xmlns:pic="http://schemas.openxmlformats.org/drawingml/2006/picture">
            <wp:extent cx="6492240" cy="365188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loor-2-e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651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OPERATE THIS FLOOR</w:t>
      </w:r>
    </w:p>
    <w:p>
      <w:pPr>
        <w:pStyle w:val="ListBullet"/>
        <w:spacing w:after="80"/>
      </w:pPr>
      <w:r>
        <w:t>Maintain two days of lead inventory</w:t>
      </w:r>
    </w:p>
    <w:p>
      <w:pPr>
        <w:pStyle w:val="ListBullet"/>
        <w:spacing w:after="80"/>
      </w:pPr>
      <w:r>
        <w:t>Assign by credibility and available capacity</w:t>
      </w:r>
    </w:p>
    <w:p>
      <w:pPr>
        <w:pStyle w:val="ListBullet"/>
        <w:spacing w:after="80"/>
      </w:pPr>
      <w:r>
        <w:t>Record actual reply and qualification</w:t>
      </w:r>
    </w:p>
    <w:p>
      <w:pPr>
        <w:pStyle w:val="ListBullet"/>
        <w:spacing w:after="80"/>
      </w:pPr>
      <w:r>
        <w:t>Promote only after the 15/20 gate</w:t>
      </w:r>
    </w:p>
    <w:p>
      <w:pPr>
        <w:pStyle w:val="ListBullet"/>
        <w:spacing w:after="80"/>
      </w:pPr>
      <w:r>
        <w:t>Create a scale handoff with evidence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5227"/>
            <w:shd w:fill="DDF3FF"/>
          </w:tcPr>
          <w:p>
            <w:r>
              <w:t>Completion check</w:t>
            </w:r>
          </w:p>
        </w:tc>
        <w:tc>
          <w:tcPr>
            <w:tcW w:type="dxa" w:w="5227"/>
            <w:shd w:fill="DDF3FF"/>
          </w:tcPr>
          <w:p>
            <w:r>
              <w:t>Handoff</w:t>
            </w:r>
          </w:p>
        </w:tc>
      </w:tr>
      <w:tr>
        <w:tc>
          <w:tcPr>
            <w:tcW w:type="dxa" w:w="5227"/>
          </w:tcPr>
          <w:p>
            <w:r>
              <w:t>15+ valid samples and every axis ≥3 before scale handoff</w:t>
            </w:r>
          </w:p>
        </w:tc>
        <w:tc>
          <w:tcPr>
            <w:tcW w:type="dxa" w:w="5227"/>
          </w:tcPr>
          <w:p>
            <w:r>
              <w:t>Scaling Node Operations when proven; otherwise continue testing</w:t>
            </w:r>
          </w:p>
        </w:tc>
      </w:tr>
    </w:tbl>
    <w:p>
      <w:r>
        <w:br w:type="page"/>
      </w:r>
    </w:p>
    <w:p>
      <w:pPr>
        <w:pStyle w:val="Heading1"/>
      </w:pPr>
      <w:r>
        <w:t>03  Permanent Node Factory</w:t>
      </w:r>
    </w:p>
    <w:p>
      <w:pPr>
        <w:spacing w:after="140"/>
        <w:jc w:val="center"/>
      </w:pPr>
      <w:r>
        <w:drawing>
          <wp:inline xmlns:a="http://schemas.openxmlformats.org/drawingml/2006/main" xmlns:pic="http://schemas.openxmlformats.org/drawingml/2006/picture">
            <wp:extent cx="6492240" cy="365188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loor-3-en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651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OPERATE THIS FLOOR</w:t>
      </w:r>
    </w:p>
    <w:p>
      <w:pPr>
        <w:pStyle w:val="ListBullet"/>
        <w:spacing w:after="80"/>
      </w:pPr>
      <w:r>
        <w:t>Add test-node candidates continuously</w:t>
      </w:r>
    </w:p>
    <w:p>
      <w:pPr>
        <w:pStyle w:val="ListBullet"/>
        <w:spacing w:after="80"/>
      </w:pPr>
      <w:r>
        <w:t>Activate accepted nodes inside seven days</w:t>
      </w:r>
    </w:p>
    <w:p>
      <w:pPr>
        <w:pStyle w:val="ListBullet"/>
        <w:spacing w:after="80"/>
      </w:pPr>
      <w:r>
        <w:t>Set real daily capacity</w:t>
      </w:r>
    </w:p>
    <w:p>
      <w:pPr>
        <w:pStyle w:val="ListBullet"/>
        <w:spacing w:after="80"/>
      </w:pPr>
      <w:r>
        <w:t>Measure output, not titles</w:t>
      </w:r>
    </w:p>
    <w:p>
      <w:pPr>
        <w:pStyle w:val="ListBullet"/>
        <w:spacing w:after="80"/>
      </w:pPr>
      <w:r>
        <w:t>Request two introductions before activation is complete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5227"/>
            <w:shd w:fill="DDF3FF"/>
          </w:tcPr>
          <w:p>
            <w:r>
              <w:t>Completion check</w:t>
            </w:r>
          </w:p>
        </w:tc>
        <w:tc>
          <w:tcPr>
            <w:tcW w:type="dxa" w:w="5227"/>
            <w:shd w:fill="DDF3FF"/>
          </w:tcPr>
          <w:p>
            <w:r>
              <w:t>Handoff</w:t>
            </w:r>
          </w:p>
        </w:tc>
      </w:tr>
      <w:tr>
        <w:tc>
          <w:tcPr>
            <w:tcW w:type="dxa" w:w="5227"/>
          </w:tcPr>
          <w:p>
            <w:r>
              <w:t>Node is active, measurable, owned and has a next action</w:t>
            </w:r>
          </w:p>
        </w:tc>
        <w:tc>
          <w:tcPr>
            <w:tcW w:type="dxa" w:w="5227"/>
          </w:tcPr>
          <w:p>
            <w:r>
              <w:t>Category Operations receives testing capacity</w:t>
            </w:r>
          </w:p>
        </w:tc>
      </w:tr>
    </w:tbl>
    <w:p>
      <w:r>
        <w:br w:type="page"/>
      </w:r>
    </w:p>
    <w:p>
      <w:pPr>
        <w:pStyle w:val="Heading1"/>
      </w:pPr>
      <w:r>
        <w:t>04  Product Factory</w:t>
      </w:r>
    </w:p>
    <w:p>
      <w:pPr>
        <w:spacing w:after="140"/>
        <w:jc w:val="center"/>
      </w:pPr>
      <w:r>
        <w:drawing>
          <wp:inline xmlns:a="http://schemas.openxmlformats.org/drawingml/2006/main" xmlns:pic="http://schemas.openxmlformats.org/drawingml/2006/picture">
            <wp:extent cx="6492240" cy="3651885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loor-4-en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651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OPERATE THIS FLOOR</w:t>
      </w:r>
    </w:p>
    <w:p>
      <w:pPr>
        <w:pStyle w:val="ListBullet"/>
        <w:spacing w:after="80"/>
      </w:pPr>
      <w:r>
        <w:t>Review sales, loss and delivery evidence</w:t>
      </w:r>
    </w:p>
    <w:p>
      <w:pPr>
        <w:pStyle w:val="ListBullet"/>
        <w:spacing w:after="80"/>
      </w:pPr>
      <w:r>
        <w:t>Check six product gates</w:t>
      </w:r>
    </w:p>
    <w:p>
      <w:pPr>
        <w:pStyle w:val="ListBullet"/>
        <w:spacing w:after="80"/>
      </w:pPr>
      <w:r>
        <w:t>Choose one unresolved constraint</w:t>
      </w:r>
    </w:p>
    <w:p>
      <w:pPr>
        <w:pStyle w:val="ListBullet"/>
        <w:spacing w:after="80"/>
      </w:pPr>
      <w:r>
        <w:t>Create one measurable experiment</w:t>
      </w:r>
    </w:p>
    <w:p>
      <w:pPr>
        <w:pStyle w:val="ListBullet"/>
        <w:spacing w:after="80"/>
      </w:pPr>
      <w:r>
        <w:t>Update only the affected version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5227"/>
            <w:shd w:fill="DDF3FF"/>
          </w:tcPr>
          <w:p>
            <w:r>
              <w:t>Completion check</w:t>
            </w:r>
          </w:p>
        </w:tc>
        <w:tc>
          <w:tcPr>
            <w:tcW w:type="dxa" w:w="5227"/>
            <w:shd w:fill="DDF3FF"/>
          </w:tcPr>
          <w:p>
            <w:r>
              <w:t>Handoff</w:t>
            </w:r>
          </w:p>
        </w:tc>
      </w:tr>
      <w:tr>
        <w:tc>
          <w:tcPr>
            <w:tcW w:type="dxa" w:w="5227"/>
          </w:tcPr>
          <w:p>
            <w:r>
              <w:t>All six product gates defined; unresolved question becomes one experiment</w:t>
            </w:r>
          </w:p>
        </w:tc>
        <w:tc>
          <w:tcPr>
            <w:tcW w:type="dxa" w:w="5227"/>
          </w:tcPr>
          <w:p>
            <w:r>
              <w:t>Script DB for messaging; Fulfillment after sale</w:t>
            </w:r>
          </w:p>
        </w:tc>
      </w:tr>
    </w:tbl>
    <w:p>
      <w:r>
        <w:br w:type="page"/>
      </w:r>
    </w:p>
    <w:p>
      <w:pPr>
        <w:pStyle w:val="Heading1"/>
      </w:pPr>
      <w:r>
        <w:t>05  Script Intelligence DB</w:t>
      </w:r>
    </w:p>
    <w:p>
      <w:pPr>
        <w:spacing w:after="140"/>
        <w:jc w:val="center"/>
      </w:pPr>
      <w:r>
        <w:drawing>
          <wp:inline xmlns:a="http://schemas.openxmlformats.org/drawingml/2006/main" xmlns:pic="http://schemas.openxmlformats.org/drawingml/2006/picture">
            <wp:extent cx="6492240" cy="365188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loor-5-en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651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OPERATE THIS FLOOR</w:t>
      </w:r>
    </w:p>
    <w:p>
      <w:pPr>
        <w:pStyle w:val="ListBullet"/>
        <w:spacing w:after="80"/>
      </w:pPr>
      <w:r>
        <w:t>Pull the currently approved script</w:t>
      </w:r>
    </w:p>
    <w:p>
      <w:pPr>
        <w:pStyle w:val="ListBullet"/>
        <w:spacing w:after="80"/>
      </w:pPr>
      <w:r>
        <w:t>Keep audience and objective fixed</w:t>
      </w:r>
    </w:p>
    <w:p>
      <w:pPr>
        <w:pStyle w:val="ListBullet"/>
        <w:spacing w:after="80"/>
      </w:pPr>
      <w:r>
        <w:t>Measure the complete funnel</w:t>
      </w:r>
    </w:p>
    <w:p>
      <w:pPr>
        <w:pStyle w:val="ListBullet"/>
        <w:spacing w:after="80"/>
      </w:pPr>
      <w:r>
        <w:t>Never overwrite the winner</w:t>
      </w:r>
    </w:p>
    <w:p>
      <w:pPr>
        <w:pStyle w:val="ListBullet"/>
        <w:spacing w:after="80"/>
      </w:pPr>
      <w:r>
        <w:t>Promote, iterate or archive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5227"/>
            <w:shd w:fill="DDF3FF"/>
          </w:tcPr>
          <w:p>
            <w:r>
              <w:t>Completion check</w:t>
            </w:r>
          </w:p>
        </w:tc>
        <w:tc>
          <w:tcPr>
            <w:tcW w:type="dxa" w:w="5227"/>
            <w:shd w:fill="DDF3FF"/>
          </w:tcPr>
          <w:p>
            <w:r>
              <w:t>Handoff</w:t>
            </w:r>
          </w:p>
        </w:tc>
      </w:tr>
      <w:tr>
        <w:tc>
          <w:tcPr>
            <w:tcW w:type="dxa" w:w="5227"/>
          </w:tcPr>
          <w:p>
            <w:r>
              <w:t>Winner protected; challenger has enough comparable evidence</w:t>
            </w:r>
          </w:p>
        </w:tc>
        <w:tc>
          <w:tcPr>
            <w:tcW w:type="dxa" w:w="5227"/>
          </w:tcPr>
          <w:p>
            <w:r>
              <w:t>Correct floor receives approved version</w:t>
            </w:r>
          </w:p>
        </w:tc>
      </w:tr>
    </w:tbl>
    <w:p>
      <w:r>
        <w:br w:type="page"/>
      </w:r>
    </w:p>
    <w:p>
      <w:pPr>
        <w:pStyle w:val="Heading1"/>
      </w:pPr>
      <w:r>
        <w:t>06  Fulfillment + Ascension</w:t>
      </w:r>
    </w:p>
    <w:p>
      <w:pPr>
        <w:spacing w:after="140"/>
        <w:jc w:val="center"/>
      </w:pPr>
      <w:r>
        <w:drawing>
          <wp:inline xmlns:a="http://schemas.openxmlformats.org/drawingml/2006/main" xmlns:pic="http://schemas.openxmlformats.org/drawingml/2006/picture">
            <wp:extent cx="6492240" cy="3651885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loor-6-en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651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OPERATE THIS FLOOR</w:t>
      </w:r>
    </w:p>
    <w:p>
      <w:pPr>
        <w:pStyle w:val="ListBullet"/>
        <w:spacing w:after="80"/>
      </w:pPr>
      <w:r>
        <w:t>Move every paid client one milestone</w:t>
      </w:r>
    </w:p>
    <w:p>
      <w:pPr>
        <w:pStyle w:val="ListBullet"/>
        <w:spacing w:after="80"/>
      </w:pPr>
      <w:r>
        <w:t>Remove blockers</w:t>
      </w:r>
    </w:p>
    <w:p>
      <w:pPr>
        <w:pStyle w:val="ListBullet"/>
        <w:spacing w:after="80"/>
      </w:pPr>
      <w:r>
        <w:t>Capture proof and referral permission</w:t>
      </w:r>
    </w:p>
    <w:p>
      <w:pPr>
        <w:pStyle w:val="ListBullet"/>
        <w:spacing w:after="80"/>
      </w:pPr>
      <w:r>
        <w:t>Score buyer fit and node fit separately</w:t>
      </w:r>
    </w:p>
    <w:p>
      <w:pPr>
        <w:pStyle w:val="ListBullet"/>
        <w:spacing w:after="80"/>
      </w:pPr>
      <w:r>
        <w:t>Activate only after value and trust exist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5227"/>
            <w:shd w:fill="DDF3FF"/>
          </w:tcPr>
          <w:p>
            <w:r>
              <w:t>Completion check</w:t>
            </w:r>
          </w:p>
        </w:tc>
        <w:tc>
          <w:tcPr>
            <w:tcW w:type="dxa" w:w="5227"/>
            <w:shd w:fill="DDF3FF"/>
          </w:tcPr>
          <w:p>
            <w:r>
              <w:t>Handoff</w:t>
            </w:r>
          </w:p>
        </w:tc>
      </w:tr>
      <w:tr>
        <w:tc>
          <w:tcPr>
            <w:tcW w:type="dxa" w:w="5227"/>
          </w:tcPr>
          <w:p>
            <w:r>
              <w:t>Client result exists before ascension; contract/training/first campaign assigned</w:t>
            </w:r>
          </w:p>
        </w:tc>
        <w:tc>
          <w:tcPr>
            <w:tcW w:type="dxa" w:w="5227"/>
          </w:tcPr>
          <w:p>
            <w:r>
              <w:t>Node Factory receives activated role; Product Factory receives evidence</w:t>
            </w:r>
          </w:p>
        </w:tc>
      </w:tr>
    </w:tbl>
    <w:p>
      <w:r>
        <w:br w:type="page"/>
      </w:r>
    </w:p>
    <w:p>
      <w:pPr>
        <w:pStyle w:val="Heading1"/>
      </w:pPr>
      <w:r>
        <w:t>07  Scaling Node Operations</w:t>
      </w:r>
    </w:p>
    <w:p>
      <w:pPr>
        <w:spacing w:after="140"/>
        <w:jc w:val="center"/>
      </w:pPr>
      <w:r>
        <w:drawing>
          <wp:inline xmlns:a="http://schemas.openxmlformats.org/drawingml/2006/main" xmlns:pic="http://schemas.openxmlformats.org/drawingml/2006/picture">
            <wp:extent cx="6492240" cy="3651885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loor-7-en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651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OPERATE THIS FLOOR</w:t>
      </w:r>
    </w:p>
    <w:p>
      <w:pPr>
        <w:pStyle w:val="ListBullet"/>
        <w:spacing w:after="80"/>
      </w:pPr>
      <w:r>
        <w:t>Use proof, not theory</w:t>
      </w:r>
    </w:p>
    <w:p>
      <w:pPr>
        <w:pStyle w:val="ListBullet"/>
        <w:spacing w:after="80"/>
      </w:pPr>
      <w:r>
        <w:t>Approach five candidates per proven category</w:t>
      </w:r>
    </w:p>
    <w:p>
      <w:pPr>
        <w:pStyle w:val="ListBullet"/>
        <w:spacing w:after="80"/>
      </w:pPr>
      <w:r>
        <w:t>Define audience, CTA, owner, date and tracking</w:t>
      </w:r>
    </w:p>
    <w:p>
      <w:pPr>
        <w:pStyle w:val="ListBullet"/>
        <w:spacing w:after="80"/>
      </w:pPr>
      <w:r>
        <w:t>Run one low-risk pilot</w:t>
      </w:r>
    </w:p>
    <w:p>
      <w:pPr>
        <w:pStyle w:val="ListBullet"/>
        <w:spacing w:after="80"/>
      </w:pPr>
      <w:r>
        <w:t>Make recurring only when repeatable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5227"/>
            <w:shd w:fill="DDF3FF"/>
          </w:tcPr>
          <w:p>
            <w:r>
              <w:t>Completion check</w:t>
            </w:r>
          </w:p>
        </w:tc>
        <w:tc>
          <w:tcPr>
            <w:tcW w:type="dxa" w:w="5227"/>
            <w:shd w:fill="DDF3FF"/>
          </w:tcPr>
          <w:p>
            <w:r>
              <w:t>Handoff</w:t>
            </w:r>
          </w:p>
        </w:tc>
      </w:tr>
      <w:tr>
        <w:tc>
          <w:tcPr>
            <w:tcW w:type="dxa" w:w="5227"/>
          </w:tcPr>
          <w:p>
            <w:r>
              <w:t>Repeatable audience-response pattern and both sides can repeat operation</w:t>
            </w:r>
          </w:p>
        </w:tc>
        <w:tc>
          <w:tcPr>
            <w:tcW w:type="dxa" w:w="5227"/>
          </w:tcPr>
          <w:p>
            <w:r>
              <w:t>Recurring node returns leads to Category Operations</w:t>
            </w:r>
          </w:p>
        </w:tc>
      </w:tr>
    </w:tbl>
    <w:p>
      <w:r>
        <w:br w:type="page"/>
      </w:r>
    </w:p>
    <w:p>
      <w:pPr>
        <w:pStyle w:val="Heading1"/>
      </w:pPr>
      <w:r>
        <w:t>Daily route: how to walk the factory</w:t>
      </w:r>
    </w:p>
    <w:p>
      <w:pPr>
        <w:spacing w:after="140"/>
        <w:jc w:val="center"/>
      </w:pPr>
      <w:r>
        <w:drawing>
          <wp:inline xmlns:a="http://schemas.openxmlformats.org/drawingml/2006/main" xmlns:pic="http://schemas.openxmlformats.org/drawingml/2006/picture">
            <wp:extent cx="6492240" cy="3651885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ily-en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6518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End-of-day gate</w:t>
      </w:r>
    </w:p>
    <w:p>
      <w:pPr>
        <w:pStyle w:val="ListBullet"/>
        <w:spacing w:after="80"/>
      </w:pPr>
      <w:r>
        <w:t>Every critical record has owner, deadline and next action.</w:t>
      </w:r>
    </w:p>
    <w:p>
      <w:pPr>
        <w:pStyle w:val="ListBullet"/>
        <w:spacing w:after="80"/>
      </w:pPr>
      <w:r>
        <w:t>Actual evidence is recorded in the source-of-truth floor.</w:t>
      </w:r>
    </w:p>
    <w:p>
      <w:pPr>
        <w:pStyle w:val="ListBullet"/>
        <w:spacing w:after="80"/>
      </w:pPr>
      <w:r>
        <w:t>Backups are exported.</w:t>
      </w:r>
    </w:p>
    <w:p>
      <w:pPr>
        <w:pStyle w:val="ListBullet"/>
        <w:spacing w:after="80"/>
      </w:pPr>
      <w:r>
        <w:t>Tomorrow’s top three constraints are visible in Control Tower.</w:t>
      </w:r>
    </w:p>
    <w:sectPr w:rsidR="00FC693F" w:rsidRPr="0006063C" w:rsidSect="00034616">
      <w:headerReference w:type="default" r:id="rId9"/>
      <w:pgSz w:w="12240" w:h="15840"/>
      <w:pgMar w:top="835" w:right="893" w:bottom="792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Noto Sans CJK JP" w:hAnsi="Noto Sans CJK JP"/>
        <w:color w:val="657184"/>
        <w:sz w:val="16"/>
      </w:rPr>
      <w:t>SEKAI PORT  |  VISUAL OPERATING SYSTEM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Noto Sans CJK JP" w:hAnsi="Noto Sans CJK JP" w:eastAsia="Noto Sans CJK JP"/>
      <w:b w:val="0"/>
      <w:color w:val="223048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0B183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1677C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JP" w:hAnsi="Noto Sans CJK JP" w:eastAsia="Noto Sans CJK JP"/>
      <w:b/>
      <w:color w:val="0B1830"/>
      <w:spacing w:val="5"/>
      <w:kern w:val="28"/>
      <w:sz w:val="5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Noto Sans CJK JP" w:hAnsi="Noto Sans CJK JP" w:eastAsia="Noto Sans CJK JP"/>
      <w:b w:val="0"/>
      <w:i/>
      <w:iCs/>
      <w:color w:val="65718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